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98F" w:rsidRDefault="00A8798F" w:rsidP="00A8798F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4723C6">
        <w:rPr>
          <w:rFonts w:ascii="Arial" w:hAnsi="Arial" w:cs="Arial"/>
          <w:b/>
          <w:bCs/>
          <w:color w:val="000000"/>
          <w:sz w:val="20"/>
          <w:szCs w:val="20"/>
        </w:rPr>
        <w:t xml:space="preserve">Приложение </w:t>
      </w: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</w:p>
    <w:p w:rsidR="00A8798F" w:rsidRDefault="00A8798F" w:rsidP="00A8798F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к Тендерной документации</w:t>
      </w:r>
    </w:p>
    <w:p w:rsidR="00A8798F" w:rsidRDefault="00A8798F" w:rsidP="00A8798F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8798F" w:rsidRDefault="00A8798F" w:rsidP="00A8798F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8798F" w:rsidRPr="004723C6" w:rsidRDefault="00A8798F" w:rsidP="00A8798F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8798F" w:rsidRDefault="00A8798F" w:rsidP="00A8798F">
      <w:pPr>
        <w:ind w:left="-566" w:firstLine="1275"/>
        <w:rPr>
          <w:rFonts w:ascii="Arial" w:hAnsi="Arial" w:cs="Arial"/>
          <w:b/>
          <w:color w:val="000000"/>
          <w:sz w:val="18"/>
          <w:szCs w:val="18"/>
        </w:rPr>
      </w:pPr>
      <w:r w:rsidRPr="00F4768C">
        <w:rPr>
          <w:rFonts w:ascii="Arial" w:hAnsi="Arial" w:cs="Arial"/>
          <w:b/>
          <w:color w:val="000000"/>
          <w:sz w:val="18"/>
          <w:szCs w:val="18"/>
        </w:rPr>
        <w:t>ПЕРЕЧЕНЬ ЗАКУПАЕМЫХ ТОВАРОВ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И ТЕХНИЧЕСКАЯ СПЕЦИФИКАЦИЯ </w:t>
      </w:r>
    </w:p>
    <w:p w:rsidR="00A8798F" w:rsidRDefault="00A8798F" w:rsidP="00A8798F">
      <w:pPr>
        <w:ind w:left="-566" w:firstLine="1275"/>
        <w:rPr>
          <w:rFonts w:ascii="Arial" w:hAnsi="Arial" w:cs="Arial"/>
          <w:b/>
          <w:color w:val="000000"/>
          <w:sz w:val="18"/>
          <w:szCs w:val="18"/>
        </w:rPr>
      </w:pPr>
    </w:p>
    <w:p w:rsidR="00A8798F" w:rsidRDefault="00A8798F" w:rsidP="00A8798F">
      <w:pPr>
        <w:ind w:left="-566" w:firstLine="1275"/>
        <w:rPr>
          <w:rFonts w:ascii="Arial" w:hAnsi="Arial" w:cs="Arial"/>
          <w:b/>
          <w:color w:val="000000"/>
          <w:sz w:val="18"/>
          <w:szCs w:val="18"/>
        </w:rPr>
      </w:pPr>
    </w:p>
    <w:tbl>
      <w:tblPr>
        <w:tblW w:w="10908" w:type="dxa"/>
        <w:tblInd w:w="-1281" w:type="dxa"/>
        <w:tblLook w:val="04A0" w:firstRow="1" w:lastRow="0" w:firstColumn="1" w:lastColumn="0" w:noHBand="0" w:noVBand="1"/>
      </w:tblPr>
      <w:tblGrid>
        <w:gridCol w:w="404"/>
        <w:gridCol w:w="1819"/>
        <w:gridCol w:w="4015"/>
        <w:gridCol w:w="1093"/>
        <w:gridCol w:w="1157"/>
        <w:gridCol w:w="1134"/>
        <w:gridCol w:w="1286"/>
      </w:tblGrid>
      <w:tr w:rsidR="00A8798F" w:rsidRPr="0046702B" w:rsidTr="00142345">
        <w:trPr>
          <w:trHeight w:val="450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Ед. измерения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поставки товара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Место поставки товара</w:t>
            </w:r>
          </w:p>
        </w:tc>
      </w:tr>
      <w:tr w:rsidR="00A8798F" w:rsidRPr="0046702B" w:rsidTr="00142345">
        <w:trPr>
          <w:trHeight w:val="3308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Эмульсия для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инфузий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300мл. Педиатрический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трехкамерный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контейнер, содержащий жиры, аминокислоты, электролиты и глюкозу для парентерального питания недоношенных новорожденных детей</w:t>
            </w: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"Педиатрический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трехкамерный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контейнер, содержащий жиры, аминокислоты, электролиты и глюкозу для парентерального питания недоношенных новорожденных детей, когда пероральное или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энтеральное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питание невозможно, недостаточно или противопоказано. Эмульсия для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инфузий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300мл. Состав разработан в соответствии с требованиями современных клинических руководств по парентеральному питанию. 12,5% липидная эмульсия (60 мл) состоит на 80% из оливкового и на 20% соевого масел. 5,9% раствор с электролитами (160 мл) содержит 20 аминокислот. 50% раствор глюкозы (80 мл). Три составные части помещены в три изолированные секции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трехкамерного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многослойного пластикового (без ПХВ) контейнера, совместимого с липидами. Препарат готов для немедленного применения "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контейнер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DDP 2020, город Алматы,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Ауэзовский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район, ул.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Жубанова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, 11</w:t>
            </w:r>
          </w:p>
        </w:tc>
      </w:tr>
      <w:tr w:rsidR="00A8798F" w:rsidRPr="0046702B" w:rsidTr="00142345">
        <w:trPr>
          <w:trHeight w:val="108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Аминокислотный раствор для парентерального питания для новорожденных 10%-100,0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Аминокислотный раствор для парентерального питания для новорожденных 10%-100,0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DDP 2020, город Алматы,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Ауэзовский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район, ул.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Жубанова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, 11</w:t>
            </w:r>
          </w:p>
        </w:tc>
      </w:tr>
      <w:tr w:rsidR="00A8798F" w:rsidRPr="0046702B" w:rsidTr="00142345">
        <w:trPr>
          <w:trHeight w:val="405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Стерелизующий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реагент для низкотемпературного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стерелизатора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HMA 55 130 мл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"Средство для стерилизации 130 мл Пероксид водорода H2O2, находящийся во флаконе, используется в системе плазменной стерилизации медицинского оборудования широкого спектра линейки HMА для плазменного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стерелизатора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производства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Human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Meditek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(Южная Корея). - Диаметр: не более 8 см - Высота: не более 12,1 см - Флакон емкостью не менее 130 мл содержащий пероксид водорода H2O2. - Флаконы с черной пластиковой крышкой. - Материал флакона пластик - Защитный колпак с нижней стороны флакона с высотой – не более 3,4 см, диаметром – не более 2 см. - ID номер флакона для плазменного стерилизатора серии HMA - Концентрация составляет не более 50%. - Срок годности составляет не менее 18 месяцев (при 2-8 градусов), не более 10 месяцев (при комнатной температуре), в аппарате не более 45 дней. "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DDP 2020, город Алматы,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Ауэзовский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район, ул.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Жубанова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, 11</w:t>
            </w:r>
          </w:p>
        </w:tc>
      </w:tr>
      <w:tr w:rsidR="00A8798F" w:rsidRPr="0046702B" w:rsidTr="00142345">
        <w:trPr>
          <w:trHeight w:val="9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Кофеин цитрат 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E35D7F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раствор для инъекций </w:t>
            </w:r>
            <w:r w:rsidRPr="00E35D7F">
              <w:rPr>
                <w:rFonts w:ascii="Arial" w:hAnsi="Arial" w:cs="Arial"/>
                <w:color w:val="000000"/>
                <w:sz w:val="16"/>
                <w:szCs w:val="16"/>
              </w:rPr>
              <w:t xml:space="preserve">60 </w:t>
            </w: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мг</w:t>
            </w:r>
            <w:r w:rsidRPr="00E35D7F">
              <w:rPr>
                <w:rFonts w:ascii="Arial" w:hAnsi="Arial" w:cs="Arial"/>
                <w:color w:val="000000"/>
                <w:sz w:val="16"/>
                <w:szCs w:val="16"/>
              </w:rPr>
              <w:t>/3</w:t>
            </w: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  <w:r w:rsidRPr="00E35D7F">
              <w:rPr>
                <w:rFonts w:ascii="Arial" w:hAnsi="Arial" w:cs="Arial"/>
                <w:color w:val="000000"/>
                <w:sz w:val="16"/>
                <w:szCs w:val="16"/>
              </w:rPr>
              <w:t xml:space="preserve"> (20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мг/мл)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DDP 2020, город Алматы,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Ауэзовский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район, ул.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Жубанова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, 11</w:t>
            </w:r>
          </w:p>
        </w:tc>
      </w:tr>
    </w:tbl>
    <w:p w:rsidR="00A8798F" w:rsidRPr="00F4768C" w:rsidRDefault="00A8798F" w:rsidP="00A8798F">
      <w:pPr>
        <w:ind w:left="-566" w:firstLine="1275"/>
        <w:rPr>
          <w:rFonts w:ascii="Arial" w:hAnsi="Arial" w:cs="Arial"/>
          <w:b/>
          <w:color w:val="000000"/>
          <w:sz w:val="18"/>
          <w:szCs w:val="18"/>
        </w:rPr>
      </w:pPr>
    </w:p>
    <w:p w:rsidR="00A8798F" w:rsidRDefault="00A8798F" w:rsidP="00A8798F"/>
    <w:p w:rsidR="00A8798F" w:rsidRDefault="00A8798F" w:rsidP="00A8798F"/>
    <w:p w:rsidR="0049571B" w:rsidRDefault="0049571B">
      <w:bookmarkStart w:id="0" w:name="_GoBack"/>
      <w:bookmarkEnd w:id="0"/>
    </w:p>
    <w:sectPr w:rsidR="00495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98F"/>
    <w:rsid w:val="0049571B"/>
    <w:rsid w:val="00A8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B95E1D-91E5-41ED-80BB-9183C621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8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2023-02-09T05:30:00Z</dcterms:created>
  <dcterms:modified xsi:type="dcterms:W3CDTF">2023-02-09T05:31:00Z</dcterms:modified>
</cp:coreProperties>
</file>